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eastAsia="黑体"/>
          <w:sz w:val="32"/>
          <w:szCs w:val="32"/>
        </w:rPr>
      </w:pPr>
      <w:r>
        <w:rPr>
          <w:rFonts w:eastAsia="黑体"/>
          <w:sz w:val="32"/>
          <w:szCs w:val="32"/>
        </w:rPr>
        <w:t>附件</w:t>
      </w:r>
    </w:p>
    <w:p>
      <w:pPr>
        <w:spacing w:line="700" w:lineRule="exact"/>
        <w:jc w:val="center"/>
        <w:rPr>
          <w:rFonts w:eastAsia="方正小标宋_GBK"/>
          <w:sz w:val="44"/>
          <w:szCs w:val="44"/>
        </w:rPr>
      </w:pPr>
      <w:r>
        <w:rPr>
          <w:rFonts w:hint="eastAsia" w:eastAsia="方正小标宋_GBK"/>
          <w:sz w:val="44"/>
          <w:szCs w:val="44"/>
        </w:rPr>
        <w:t>3</w:t>
      </w:r>
      <w:r>
        <w:rPr>
          <w:rFonts w:eastAsia="方正小标宋_GBK"/>
          <w:sz w:val="44"/>
          <w:szCs w:val="44"/>
        </w:rPr>
        <w:t>个通过审查的矿山地质环境保护</w:t>
      </w:r>
    </w:p>
    <w:p>
      <w:pPr>
        <w:spacing w:line="700" w:lineRule="exact"/>
        <w:jc w:val="center"/>
        <w:rPr>
          <w:rFonts w:eastAsia="方正小标宋_GBK"/>
          <w:sz w:val="44"/>
          <w:szCs w:val="44"/>
        </w:rPr>
      </w:pPr>
      <w:r>
        <w:rPr>
          <w:rFonts w:eastAsia="方正小标宋_GBK"/>
          <w:sz w:val="44"/>
          <w:szCs w:val="44"/>
        </w:rPr>
        <w:t>与土地复垦方案名单</w:t>
      </w:r>
    </w:p>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序号</w:t>
            </w:r>
          </w:p>
        </w:tc>
        <w:tc>
          <w:tcPr>
            <w:tcW w:w="7471" w:type="dxa"/>
            <w:noWrap w:val="0"/>
            <w:vAlign w:val="center"/>
          </w:tcPr>
          <w:p>
            <w:pPr>
              <w:jc w:val="center"/>
              <w:rPr>
                <w:rFonts w:hint="eastAsia" w:ascii="黑体" w:hAnsi="黑体" w:eastAsia="黑体" w:cs="仿宋_GB2312"/>
                <w:sz w:val="32"/>
                <w:szCs w:val="32"/>
              </w:rPr>
            </w:pPr>
            <w:r>
              <w:rPr>
                <w:rFonts w:hint="eastAsia" w:ascii="黑体" w:hAnsi="黑体" w:eastAsia="黑体" w:cs="仿宋_GB2312"/>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1</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河南金源黄金矿业有限责任公司祁雨沟公峪金矿矿山地质环境保护与土地复垦方案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2</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中国石油天然气股份有限公司西南油气田分公司四川省四川盆地莲花山-张家坪天然气开采矿权矿山地质环境保护与土地复垦方案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51" w:type="dxa"/>
            <w:noWrap w:val="0"/>
            <w:vAlign w:val="center"/>
          </w:tcPr>
          <w:p>
            <w:pPr>
              <w:jc w:val="center"/>
              <w:rPr>
                <w:rFonts w:hint="eastAsia" w:ascii="仿宋_GB2312" w:hAnsi="仿宋_GB2312" w:eastAsia="仿宋_GB2312" w:cs="仿宋_GB2312"/>
                <w:sz w:val="32"/>
                <w:szCs w:val="32"/>
              </w:rPr>
            </w:pPr>
            <w:r>
              <w:rPr>
                <w:rFonts w:hint="eastAsia" w:ascii="仿宋_GB2312" w:hAnsi="宋体" w:eastAsia="仿宋_GB2312"/>
                <w:b/>
                <w:sz w:val="32"/>
                <w:szCs w:val="32"/>
              </w:rPr>
              <w:t>3</w:t>
            </w:r>
          </w:p>
        </w:tc>
        <w:tc>
          <w:tcPr>
            <w:tcW w:w="7471" w:type="dxa"/>
            <w:noWrap w:val="0"/>
            <w:vAlign w:val="center"/>
          </w:tcPr>
          <w:p>
            <w:pPr>
              <w:rPr>
                <w:rFonts w:hint="eastAsia" w:ascii="仿宋_GB2312" w:hAnsi="宋体" w:eastAsia="仿宋_GB2312"/>
                <w:sz w:val="32"/>
                <w:szCs w:val="32"/>
              </w:rPr>
            </w:pPr>
            <w:r>
              <w:rPr>
                <w:rFonts w:hint="eastAsia" w:ascii="仿宋_GB2312" w:hAnsi="宋体" w:eastAsia="仿宋_GB2312"/>
                <w:sz w:val="32"/>
                <w:szCs w:val="32"/>
              </w:rPr>
              <w:t>陕西大西沟矿业有限公司大西沟铁矿矿山地质环境保护与土地复垦方案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A7B02"/>
    <w:rsid w:val="4D7A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2019-06-20T08:55:00Z</dcterms:created>
  <dc:creator>侯一俊</dc:creator>
  <cp:lastModifiedBy>侯一俊</cp:lastModifiedBy>
  <dcterms:modified xsi:type="dcterms:W3CDTF">2019-06-20T08:56:31Z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